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600" w:lineRule="exact"/>
        <w:jc w:val="center"/>
        <w:outlineLvl w:val="3"/>
        <w:rPr>
          <w:rFonts w:hint="eastAsia" w:ascii="黑体" w:hAnsi="黑体" w:eastAsia="黑体" w:cs="黑体"/>
          <w:b w:val="0"/>
          <w:bCs/>
          <w:color w:val="333333"/>
          <w:kern w:val="0"/>
          <w:sz w:val="32"/>
          <w:szCs w:val="32"/>
          <w:lang w:eastAsia="zh-CN"/>
        </w:rPr>
      </w:pPr>
      <w:bookmarkStart w:id="0" w:name="_Toc533879019"/>
      <w:bookmarkStart w:id="1" w:name="_Toc533880477"/>
      <w:r>
        <w:rPr>
          <w:rFonts w:hint="eastAsia" w:ascii="黑体" w:hAnsi="黑体" w:eastAsia="黑体" w:cs="黑体"/>
          <w:b w:val="0"/>
          <w:bCs/>
          <w:color w:val="333333"/>
          <w:kern w:val="0"/>
          <w:sz w:val="32"/>
          <w:szCs w:val="32"/>
          <w:lang w:eastAsia="zh-CN"/>
        </w:rPr>
        <w:t>电子税务局社保费系统缴费操作手册（用人单位）</w:t>
      </w:r>
    </w:p>
    <w:p>
      <w:pPr>
        <w:spacing w:line="600" w:lineRule="exact"/>
        <w:jc w:val="center"/>
        <w:outlineLvl w:val="3"/>
        <w:rPr>
          <w:rFonts w:hint="eastAsia" w:ascii="黑体" w:hAnsi="黑体" w:eastAsia="黑体" w:cs="黑体"/>
          <w:b w:val="0"/>
          <w:bCs/>
          <w:color w:val="333333"/>
          <w:kern w:val="0"/>
          <w:sz w:val="32"/>
          <w:szCs w:val="32"/>
          <w:lang w:eastAsia="zh-CN"/>
        </w:rPr>
      </w:pPr>
      <w:bookmarkStart w:id="11" w:name="_GoBack"/>
      <w:bookmarkEnd w:id="11"/>
    </w:p>
    <w:bookmarkEnd w:id="0"/>
    <w:bookmarkEnd w:id="1"/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hint="eastAsia" w:ascii="仿宋_GB2312" w:eastAsia="仿宋_GB2312"/>
          <w:b/>
          <w:sz w:val="32"/>
          <w:szCs w:val="32"/>
          <w:lang w:val="en-US" w:eastAsia="zh-CN"/>
        </w:rPr>
      </w:pPr>
      <w:bookmarkStart w:id="2" w:name="_Toc1109193949"/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登录</w:t>
      </w:r>
      <w:bookmarkEnd w:id="2"/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打开电子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税务局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 xml:space="preserve">页面后，点击右上角的【登录】按钮进入电子税务局登录方式页面。如下图所示： </w:t>
      </w:r>
    </w:p>
    <w:p>
      <w:pPr>
        <w:ind w:firstLine="48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8595" cy="2482850"/>
            <wp:effectExtent l="0" t="0" r="4445" b="1270"/>
            <wp:docPr id="17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2880" cy="2475865"/>
            <wp:effectExtent l="0" t="0" r="10160" b="8255"/>
            <wp:docPr id="25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</w:p>
    <w:p>
      <w:pPr>
        <w:pStyle w:val="3"/>
        <w:bidi w:val="0"/>
        <w:ind w:left="720" w:leftChars="0" w:hanging="720" w:firstLineChars="0"/>
        <w:outlineLvl w:val="1"/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</w:pPr>
      <w:bookmarkStart w:id="3" w:name="_Toc103769016"/>
      <w:bookmarkStart w:id="4" w:name="_Toc2064644883"/>
      <w:bookmarkStart w:id="5" w:name="_Toc1308344149"/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  <w:t>密码登录</w:t>
      </w:r>
      <w:bookmarkEnd w:id="3"/>
      <w:bookmarkEnd w:id="4"/>
      <w:bookmarkEnd w:id="5"/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【第一步】选择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快捷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登录方式，输入统一社会信用代码/纳税人识别号和手机号码/居民身份证号码/用户名和个人用户密码，拖动滑块至最右侧，点击【登录】按钮。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2455545"/>
            <wp:effectExtent l="0" t="0" r="5715" b="13335"/>
            <wp:docPr id="8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【第二步】用户可以选择扫码验证或短信验证方式进行登录。</w:t>
      </w:r>
    </w:p>
    <w:p>
      <w:pPr>
        <w:ind w:firstLine="480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选择扫码登录，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可选择税务app扫码或个人所得税app扫码完成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扫码验证。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选择税务app扫码的使用手机税税通进行扫码验证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选择个人所得税app扫码的使用个人所得税app进行扫码验证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22215" cy="2275205"/>
            <wp:effectExtent l="0" t="0" r="6985" b="10795"/>
            <wp:docPr id="2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01895" cy="2277745"/>
            <wp:effectExtent l="0" t="0" r="12065" b="8255"/>
            <wp:docPr id="24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</w:p>
    <w:p>
      <w:pPr>
        <w:ind w:firstLine="0" w:firstLineChars="0"/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选择验证码登录，需用录入手机验证码，点击“登录”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2377440"/>
            <wp:effectExtent l="0" t="0" r="5715" b="0"/>
            <wp:docPr id="28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【第三步】完成验证后如果办税人员存在多个身份类型，点击登录后，弹窗提示选择办税人员身份类型。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1135" cy="2419350"/>
            <wp:effectExtent l="0" t="0" r="1905" b="3810"/>
            <wp:docPr id="26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若选中的身份未进行确认会弹窗提示纳税人进行确认后登录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若上一步选择了短信验证，此处需进行扫码验证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。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2432685"/>
            <wp:effectExtent l="0" t="0" r="0" b="5715"/>
            <wp:docPr id="22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3515" cy="2388870"/>
            <wp:effectExtent l="0" t="0" r="9525" b="3810"/>
            <wp:docPr id="23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</w:p>
    <w:p>
      <w:pPr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首次登录时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用户需确认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《个人信息保护告知同意书》、《人脸识别服务协议》，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点击确认即可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firstLine="0" w:firstLineChars="0"/>
        <w:jc w:val="center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2880" cy="2376170"/>
            <wp:effectExtent l="0" t="0" r="10160" b="1270"/>
            <wp:docPr id="27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jc w:val="both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</w:p>
    <w:p>
      <w:pPr>
        <w:pStyle w:val="3"/>
        <w:bidi w:val="0"/>
        <w:ind w:left="720" w:leftChars="0" w:hanging="720" w:firstLineChars="0"/>
        <w:outlineLvl w:val="1"/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</w:pPr>
      <w:bookmarkStart w:id="6" w:name="_Toc103769017"/>
      <w:bookmarkStart w:id="7" w:name="_Toc1445780355"/>
      <w:bookmarkStart w:id="8" w:name="_Toc1159905290"/>
      <w:bookmarkStart w:id="9" w:name="_Toc1051221436"/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  <w:t>扫码登录</w:t>
      </w:r>
      <w:bookmarkEnd w:id="6"/>
      <w:bookmarkEnd w:id="7"/>
      <w:bookmarkEnd w:id="8"/>
    </w:p>
    <w:p>
      <w:pP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企业用户在扫码登录界面，选择“青岛税务App扫码”或“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个人所得税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APP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”扫码方式登录。</w:t>
      </w:r>
    </w:p>
    <w:p>
      <w:pP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青岛税务App扫码：打开青岛税务APP（手机税税通），先进行企业登录，企业登录成功后，再返回APP首页，点击右上角“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+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”，弹出扫一扫，点击扫一扫，扫描图中的二维码即可完成登录。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2461895"/>
            <wp:effectExtent l="0" t="0" r="0" b="6985"/>
            <wp:docPr id="29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ind w:left="720" w:leftChars="0" w:hanging="720" w:firstLineChars="0"/>
        <w:outlineLvl w:val="1"/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  <w:t>证书登录</w:t>
      </w:r>
      <w:bookmarkEnd w:id="9"/>
    </w:p>
    <w:p>
      <w:pP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企业登录前需要确保税务数字证书的介质（即金税盘、税控盘、税务Ukey）已经连接电脑。</w:t>
      </w:r>
    </w:p>
    <w:p>
      <w:pP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【第一步】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点击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数字证书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登录】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切换至证书登录界面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6690" cy="2257425"/>
            <wp:effectExtent l="0" t="0" r="6350" b="13335"/>
            <wp:docPr id="3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【第二步】输入证书密码，输入后点击【登录】按钮进行登录。</w:t>
      </w:r>
    </w:p>
    <w:p>
      <w:pPr>
        <w:spacing w:line="240" w:lineRule="auto"/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2199005"/>
            <wp:effectExtent l="0" t="0" r="0" b="10795"/>
            <wp:docPr id="30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left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三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步】用户可以选择短信验证或扫码验证方式进行登录。</w:t>
      </w:r>
    </w:p>
    <w:p>
      <w:pPr>
        <w:ind w:firstLine="480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选择扫码登录，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可选择税务app扫码或个人所得税app扫码完成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扫码验证。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选择税务app扫码的使用手机税税通进行扫码验证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选择个人所得税app扫码的使用个人所得税app进行扫码验证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22215" cy="2275205"/>
            <wp:effectExtent l="0" t="0" r="6985" b="10795"/>
            <wp:docPr id="1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4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01895" cy="2277745"/>
            <wp:effectExtent l="0" t="0" r="12065" b="8255"/>
            <wp:docPr id="4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</w:p>
    <w:p>
      <w:pPr>
        <w:ind w:firstLine="0" w:firstLineChars="0"/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选择验证码登录，需用录入手机验证码，点击“登录”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2377440"/>
            <wp:effectExtent l="0" t="0" r="5715" b="0"/>
            <wp:docPr id="5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</w:p>
    <w:p>
      <w:pPr>
        <w:pStyle w:val="3"/>
        <w:bidi w:val="0"/>
        <w:ind w:left="720" w:leftChars="0" w:hanging="720" w:firstLineChars="0"/>
        <w:outlineLvl w:val="1"/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</w:pPr>
      <w:bookmarkStart w:id="10" w:name="_Toc530710983"/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  <w:t>特定主体登录</w:t>
      </w:r>
      <w:bookmarkEnd w:id="10"/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【第一步】选择特定主体类型、输入统一社会信用代码/纳税人识别号、手机号码/居民身份证号码/用户名和个人用户密码，拖动滑块至最右侧，点击【登录】按钮进行登录。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9230" cy="2172970"/>
            <wp:effectExtent l="0" t="0" r="3810" b="6350"/>
            <wp:docPr id="7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7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【第二步】用户可以选择扫码验证或短信验证方式进行登录。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22215" cy="2275205"/>
            <wp:effectExtent l="0" t="0" r="6985" b="10795"/>
            <wp:docPr id="9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8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01895" cy="2277745"/>
            <wp:effectExtent l="0" t="0" r="12065" b="8255"/>
            <wp:docPr id="10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9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2377440"/>
            <wp:effectExtent l="0" t="0" r="5715" b="0"/>
            <wp:docPr id="13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0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三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步】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验证成功后选择需要进入的跨区报验户或跨区税源户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firstLine="0" w:firstLineChars="0"/>
        <w:jc w:val="left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6690" cy="1803400"/>
            <wp:effectExtent l="0" t="0" r="6350" b="10160"/>
            <wp:docPr id="15" name="图片 2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1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特定主体类型包括“跨区域涉税事项报验户”和“跨区税源登记纳税人”，企业需根据实际情况选择。</w:t>
      </w:r>
    </w:p>
    <w:p>
      <w:pPr>
        <w:pStyle w:val="3"/>
        <w:bidi w:val="0"/>
        <w:ind w:left="720" w:leftChars="0" w:hanging="720" w:firstLineChars="0"/>
        <w:outlineLvl w:val="1"/>
        <w:rPr>
          <w:rFonts w:hint="default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Hans" w:bidi="ar-SA"/>
        </w:rPr>
        <w:t>非居民</w:t>
      </w:r>
      <w:r>
        <w:rPr>
          <w:rFonts w:hint="eastAsia" w:ascii="仿宋_GB2312" w:hAnsi="Calibri" w:eastAsia="仿宋_GB2312" w:cs="Times New Roman"/>
          <w:b/>
          <w:bCs/>
          <w:kern w:val="2"/>
          <w:sz w:val="32"/>
          <w:szCs w:val="32"/>
          <w:lang w:val="en-US" w:eastAsia="zh-CN" w:bidi="ar-SA"/>
        </w:rPr>
        <w:t>登录</w:t>
      </w:r>
    </w:p>
    <w:p>
      <w:pPr>
        <w:ind w:left="0" w:leftChars="0" w:firstLine="0" w:firstLineChars="0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一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步】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点击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非居民登录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】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进入非居民登录界面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left="0" w:leftChars="0" w:firstLine="0" w:firstLineChars="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6055" cy="2219325"/>
            <wp:effectExtent l="0" t="0" r="6985" b="5715"/>
            <wp:docPr id="18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2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步】输入统一社会信用代码/纳税人识别号和手机号码/居民身份证号码/用户名和个人用户密码，拖动滑块至最右侧，点击【登录】按钮。</w:t>
      </w:r>
    </w:p>
    <w:p>
      <w:pPr>
        <w:ind w:left="0" w:leftChars="0" w:firstLine="0" w:firstLineChars="0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56505" cy="2119630"/>
            <wp:effectExtent l="0" t="0" r="3175" b="13970"/>
            <wp:docPr id="19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3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left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【第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三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t>步】用户可以选择短信验证或扫码验证方式进行登录。</w:t>
      </w:r>
    </w:p>
    <w:p>
      <w:pPr>
        <w:ind w:firstLine="480"/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</w:pP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选择扫码登录，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可选择税务app扫码或个人所得税app扫码完成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扫码验证。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选择税务app扫码的使用手机税税通进行扫码验证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，</w:t>
      </w: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选择个人所得税app扫码的使用个人所得税app进行扫码验证</w:t>
      </w:r>
      <w:r>
        <w:rPr>
          <w:rFonts w:hint="default" w:ascii="仿宋_GB2312" w:hAnsi="Calibri" w:eastAsia="仿宋_GB2312" w:cs="Times New Roman"/>
          <w:b w:val="0"/>
          <w:kern w:val="2"/>
          <w:sz w:val="32"/>
          <w:szCs w:val="32"/>
          <w:lang w:val="en-US" w:eastAsia="zh-Hans" w:bidi="ar-SA"/>
        </w:rPr>
        <w:t>。</w:t>
      </w:r>
    </w:p>
    <w:p>
      <w:pPr>
        <w:ind w:firstLine="0" w:firstLineChars="0"/>
        <w:jc w:val="center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22215" cy="2275205"/>
            <wp:effectExtent l="0" t="0" r="6985" b="10795"/>
            <wp:docPr id="20" name="图片 2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4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Calibri" w:eastAsia="仿宋_GB2312" w:cs="Times New Roman"/>
          <w:b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01895" cy="2277745"/>
            <wp:effectExtent l="0" t="0" r="12065" b="8255"/>
            <wp:docPr id="21" name="图片 2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5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hint="eastAsia" w:ascii="仿宋_GB2312" w:eastAsia="仿宋_GB2312"/>
          <w:b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我的税务登记信息</w:t>
      </w:r>
    </w:p>
    <w:p>
      <w:pPr>
        <w:spacing w:line="360" w:lineRule="auto"/>
        <w:jc w:val="left"/>
      </w:pPr>
      <w:r>
        <w:rPr>
          <w:rFonts w:hint="eastAsia" w:ascii="仿宋_GB2312" w:eastAsia="仿宋_GB2312"/>
          <w:sz w:val="32"/>
          <w:szCs w:val="32"/>
        </w:rPr>
        <w:t>登录后，该功能显示缴费人的税务登记信息</w:t>
      </w:r>
      <w:r>
        <w:drawing>
          <wp:inline distT="0" distB="0" distL="114300" distR="114300">
            <wp:extent cx="5270500" cy="1840865"/>
            <wp:effectExtent l="0" t="0" r="6350" b="6985"/>
            <wp:docPr id="43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我的参保登记信息</w:t>
      </w:r>
    </w:p>
    <w:p>
      <w:pPr>
        <w:spacing w:line="360" w:lineRule="auto"/>
        <w:jc w:val="left"/>
      </w:pPr>
      <w:r>
        <w:rPr>
          <w:rFonts w:hint="eastAsia" w:ascii="仿宋_GB2312" w:eastAsia="仿宋_GB2312"/>
          <w:sz w:val="32"/>
          <w:szCs w:val="32"/>
        </w:rPr>
        <w:t>该功能显示缴费人的参保登记信息</w:t>
      </w:r>
      <w:r>
        <w:drawing>
          <wp:inline distT="0" distB="0" distL="114300" distR="114300">
            <wp:extent cx="5273675" cy="2343785"/>
            <wp:effectExtent l="0" t="0" r="3175" b="18415"/>
            <wp:docPr id="45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待办事项</w:t>
      </w:r>
    </w:p>
    <w:p>
      <w:pPr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该功能包含了未申报及未缴纳的征集信息。</w:t>
      </w:r>
      <w:r>
        <w:drawing>
          <wp:inline distT="0" distB="0" distL="114300" distR="114300">
            <wp:extent cx="5260340" cy="1224280"/>
            <wp:effectExtent l="0" t="0" r="16510" b="13970"/>
            <wp:docPr id="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仿宋_GB2312" w:eastAsia="仿宋_GB2312"/>
          <w:sz w:val="32"/>
          <w:szCs w:val="32"/>
        </w:rPr>
        <w:t>第一步：点击“</w:t>
      </w:r>
      <w:r>
        <w:rPr>
          <w:rFonts w:hint="eastAsia" w:ascii="仿宋_GB2312" w:eastAsia="仿宋_GB2312"/>
          <w:sz w:val="32"/>
          <w:szCs w:val="32"/>
          <w:lang w:eastAsia="zh-CN"/>
        </w:rPr>
        <w:t>申报</w:t>
      </w:r>
      <w:r>
        <w:rPr>
          <w:rFonts w:hint="eastAsia" w:ascii="仿宋_GB2312" w:eastAsia="仿宋_GB2312"/>
          <w:sz w:val="32"/>
          <w:szCs w:val="32"/>
        </w:rPr>
        <w:t>”或“继续缴费”</w:t>
      </w:r>
      <w:r>
        <w:rPr>
          <w:rFonts w:hint="eastAsia" w:ascii="仿宋_GB2312" w:eastAsia="仿宋_GB2312"/>
          <w:sz w:val="32"/>
          <w:szCs w:val="32"/>
          <w:lang w:eastAsia="zh-CN"/>
        </w:rPr>
        <w:t>（如状态为未申报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,请先进行申报保存，如状态为未缴费，点击继续缴费</w:t>
      </w:r>
      <w:r>
        <w:rPr>
          <w:rFonts w:hint="eastAsia" w:ascii="仿宋_GB2312" w:eastAsia="仿宋_GB2312"/>
          <w:sz w:val="32"/>
          <w:szCs w:val="32"/>
          <w:lang w:eastAsia="zh-CN"/>
        </w:rPr>
        <w:t>）。</w:t>
      </w:r>
      <w:r>
        <w:drawing>
          <wp:inline distT="0" distB="0" distL="114300" distR="114300">
            <wp:extent cx="5273040" cy="2308225"/>
            <wp:effectExtent l="0" t="0" r="3810" b="15875"/>
            <wp:docPr id="1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t>第二步：确认申报金额后点击“保存提交”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,弹出提示“申报成功，请返回主页进行缴费”。</w:t>
      </w:r>
    </w:p>
    <w:p>
      <w:pPr>
        <w:jc w:val="left"/>
        <w:rPr>
          <w:rFonts w:hint="eastAsia"/>
          <w:lang w:eastAsia="zh-CN"/>
        </w:rPr>
      </w:pPr>
      <w:r>
        <w:drawing>
          <wp:inline distT="0" distB="0" distL="114300" distR="114300">
            <wp:extent cx="5272405" cy="2743200"/>
            <wp:effectExtent l="0" t="0" r="4445" b="0"/>
            <wp:docPr id="36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hint="eastAsia" w:ascii="仿宋_GB2312" w:eastAsia="仿宋_GB2312"/>
          <w:sz w:val="32"/>
          <w:szCs w:val="32"/>
          <w:lang w:eastAsia="zh-CN"/>
        </w:rPr>
      </w:pPr>
      <w:r>
        <w:rPr>
          <w:rFonts w:hint="eastAsia" w:ascii="仿宋_GB2312" w:eastAsia="仿宋_GB2312"/>
          <w:sz w:val="32"/>
          <w:szCs w:val="32"/>
        </w:rPr>
        <w:t>第</w:t>
      </w:r>
      <w:r>
        <w:rPr>
          <w:rFonts w:hint="eastAsia" w:ascii="仿宋_GB2312" w:eastAsia="仿宋_GB2312"/>
          <w:sz w:val="32"/>
          <w:szCs w:val="32"/>
          <w:lang w:eastAsia="zh-CN"/>
        </w:rPr>
        <w:t>三</w:t>
      </w:r>
      <w:r>
        <w:rPr>
          <w:rFonts w:hint="eastAsia" w:ascii="仿宋_GB2312" w:eastAsia="仿宋_GB2312"/>
          <w:sz w:val="32"/>
          <w:szCs w:val="32"/>
        </w:rPr>
        <w:t>步：</w:t>
      </w:r>
      <w:r>
        <w:rPr>
          <w:rFonts w:hint="eastAsia" w:ascii="仿宋_GB2312" w:eastAsia="仿宋_GB2312"/>
          <w:sz w:val="32"/>
          <w:szCs w:val="32"/>
          <w:lang w:eastAsia="zh-CN"/>
        </w:rPr>
        <w:t>点击“继续缴费”，查看缴费明细。</w:t>
      </w:r>
    </w:p>
    <w:p>
      <w:pPr>
        <w:spacing w:line="360" w:lineRule="auto"/>
        <w:jc w:val="left"/>
        <w:rPr>
          <w:rFonts w:hint="eastAsia" w:ascii="仿宋_GB2312" w:eastAsia="仿宋_GB2312"/>
          <w:sz w:val="32"/>
          <w:szCs w:val="32"/>
          <w:lang w:eastAsia="zh-CN"/>
        </w:rPr>
      </w:pPr>
      <w:r>
        <w:drawing>
          <wp:inline distT="0" distB="0" distL="114300" distR="114300">
            <wp:extent cx="5266690" cy="349885"/>
            <wp:effectExtent l="0" t="0" r="10160" b="12065"/>
            <wp:docPr id="40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t>第四步：</w:t>
      </w:r>
      <w:r>
        <w:rPr>
          <w:rFonts w:hint="eastAsia" w:ascii="仿宋_GB2312" w:eastAsia="仿宋_GB2312"/>
          <w:sz w:val="32"/>
          <w:szCs w:val="32"/>
        </w:rPr>
        <w:t>选择“支付方式”，有三种支付方式，协议缴纳、二维码缴费、银行柜台缴费，可根据实际情况选择合适的缴费方式。其中，“是否顺序缴费”为“是”的，若要到银行柜台缴费，只能使用汇总开具银行端查询缴费凭证，单独缴费时仅支持协议缴纳、二维码缴费两种缴费方式。</w:t>
      </w:r>
    </w:p>
    <w:p>
      <w:pPr>
        <w:jc w:val="left"/>
      </w:pPr>
      <w:r>
        <w:drawing>
          <wp:inline distT="0" distB="0" distL="114300" distR="114300">
            <wp:extent cx="5261610" cy="2764790"/>
            <wp:effectExtent l="0" t="0" r="15240" b="16510"/>
            <wp:docPr id="76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hint="eastAsia" w:ascii="仿宋_GB2312" w:eastAsia="仿宋_GB2312"/>
          <w:sz w:val="32"/>
          <w:szCs w:val="32"/>
          <w:lang w:eastAsia="zh-CN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t>缓缴政策：单位缴纳部分可以缓缴，系统默认不选中可缓缴的明细，若手动勾选弹出提示“按照医保缓缴政策，您勾选的单位缴纳部分可以缓缴，是否确认本期缴纳？”。</w:t>
      </w:r>
    </w:p>
    <w:p>
      <w:pPr>
        <w:jc w:val="left"/>
      </w:pPr>
      <w:r>
        <w:drawing>
          <wp:inline distT="0" distB="0" distL="114300" distR="114300">
            <wp:extent cx="5261610" cy="2734945"/>
            <wp:effectExtent l="0" t="0" r="15240" b="8255"/>
            <wp:docPr id="93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t>确认缴费的明细以及</w:t>
      </w:r>
      <w:r>
        <w:rPr>
          <w:rFonts w:hint="eastAsia" w:ascii="仿宋_GB2312" w:eastAsia="仿宋_GB2312"/>
          <w:sz w:val="32"/>
          <w:szCs w:val="32"/>
        </w:rPr>
        <w:t>选择缴费方式后，点击“</w:t>
      </w:r>
      <w:r>
        <w:rPr>
          <w:rFonts w:hint="eastAsia" w:ascii="仿宋_GB2312" w:eastAsia="仿宋_GB2312"/>
          <w:sz w:val="32"/>
          <w:szCs w:val="32"/>
          <w:lang w:eastAsia="zh-CN"/>
        </w:rPr>
        <w:t>缴费</w:t>
      </w:r>
      <w:r>
        <w:rPr>
          <w:rFonts w:hint="eastAsia" w:ascii="仿宋_GB2312" w:eastAsia="仿宋_GB2312"/>
          <w:sz w:val="32"/>
          <w:szCs w:val="32"/>
        </w:rPr>
        <w:t>”。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2405" cy="2757170"/>
            <wp:effectExtent l="0" t="0" r="4445" b="5080"/>
            <wp:docPr id="91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A.协议缴纳</w:t>
      </w:r>
    </w:p>
    <w:p>
      <w:pPr>
        <w:jc w:val="left"/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</w:t>
      </w:r>
    </w:p>
    <w:p>
      <w:pPr>
        <w:pStyle w:val="15"/>
        <w:numPr>
          <w:ilvl w:val="0"/>
          <w:numId w:val="4"/>
        </w:numPr>
        <w:ind w:firstLineChars="0"/>
        <w:jc w:val="left"/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使用协议缴费时，需输入支付密码。</w:t>
      </w:r>
    </w:p>
    <w:p>
      <w:pPr>
        <w:pStyle w:val="15"/>
        <w:numPr>
          <w:ilvl w:val="0"/>
          <w:numId w:val="4"/>
        </w:numPr>
        <w:ind w:firstLineChars="0"/>
        <w:jc w:val="left"/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如果支付密码输入错误3次，将会被强制退出登录，并且该缴费人用户将会被系统锁定3分钟。锁定时间过后方可继续完成申报缴费</w:t>
      </w:r>
    </w:p>
    <w:p>
      <w:pPr>
        <w:pStyle w:val="15"/>
        <w:numPr>
          <w:ilvl w:val="0"/>
          <w:numId w:val="4"/>
        </w:numPr>
        <w:ind w:firstLineChars="0"/>
        <w:jc w:val="left"/>
        <w:rPr>
          <w:rFonts w:hint="eastAsia"/>
          <w:b/>
          <w:bCs/>
          <w:color w:val="FF0000"/>
        </w:rPr>
      </w:pPr>
      <w:r>
        <w:rPr>
          <w:rFonts w:hint="eastAsia"/>
          <w:b/>
          <w:bCs/>
          <w:color w:val="FF0000"/>
        </w:rPr>
        <w:t>如果尚未设置支付密码，可以按照页面提示前往委托扣款协议页面设置支付密码。</w:t>
      </w:r>
    </w:p>
    <w:p>
      <w:pPr>
        <w:jc w:val="left"/>
      </w:pPr>
      <w:r>
        <w:drawing>
          <wp:inline distT="0" distB="0" distL="114300" distR="114300">
            <wp:extent cx="5262880" cy="2414905"/>
            <wp:effectExtent l="0" t="0" r="13970" b="4445"/>
            <wp:docPr id="58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9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B.二维码缴费，支持云闪付、微信扫码支付</w:t>
      </w:r>
    </w:p>
    <w:p>
      <w:pPr>
        <w:jc w:val="left"/>
      </w:pPr>
      <w:r>
        <w:drawing>
          <wp:inline distT="0" distB="0" distL="114300" distR="114300">
            <wp:extent cx="5267960" cy="2664460"/>
            <wp:effectExtent l="0" t="0" r="8890" b="2540"/>
            <wp:docPr id="14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C.银行柜台缴费,可以打印或者下载</w:t>
      </w:r>
    </w:p>
    <w:p>
      <w:pPr>
        <w:jc w:val="left"/>
      </w:pPr>
      <w:r>
        <w:drawing>
          <wp:inline distT="0" distB="0" distL="114300" distR="114300">
            <wp:extent cx="5266055" cy="3046730"/>
            <wp:effectExtent l="0" t="0" r="10795" b="1270"/>
            <wp:docPr id="59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0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4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b/>
          <w:bCs/>
          <w:color w:val="FF0000"/>
          <w:sz w:val="32"/>
          <w:szCs w:val="32"/>
        </w:rPr>
      </w:pPr>
      <w:r>
        <w:rPr>
          <w:rFonts w:hint="eastAsia" w:ascii="仿宋_GB2312" w:eastAsia="仿宋_GB2312"/>
          <w:b/>
          <w:bCs/>
          <w:color w:val="FF0000"/>
          <w:sz w:val="32"/>
          <w:szCs w:val="32"/>
        </w:rPr>
        <w:t>注意：</w:t>
      </w:r>
    </w:p>
    <w:p>
      <w:pPr>
        <w:numPr>
          <w:ilvl w:val="0"/>
          <w:numId w:val="5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“是否顺序缴费”为“是”的，需按照顺序依次进行缴费，不可乱序缴费；</w:t>
      </w:r>
    </w:p>
    <w:p>
      <w:pPr>
        <w:numPr>
          <w:ilvl w:val="0"/>
          <w:numId w:val="5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“是否顺序缴费”为“否”的，可不用按照顺序进行缴费；</w:t>
      </w:r>
    </w:p>
    <w:p>
      <w:pPr>
        <w:numPr>
          <w:ilvl w:val="0"/>
          <w:numId w:val="5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缴费类型为“特殊缴费”的，不支持协议扣款。</w:t>
      </w:r>
    </w:p>
    <w:p>
      <w:pPr>
        <w:numPr>
          <w:ilvl w:val="0"/>
          <w:numId w:val="5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点击“汇总开具《银行查询缴费凭证》”，将“是否顺序缴费”为“是”的所有信息汇总为一条信息，开具银行查询缴费凭证。</w:t>
      </w:r>
    </w:p>
    <w:p>
      <w:pPr>
        <w:numPr>
          <w:ilvl w:val="0"/>
          <w:numId w:val="5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选择“汇总开具《银行查询缴费凭证》”或者是银行柜台缴费，可以选择已有账号或者是手动录入，也可以不选择，直接汇总开具。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1135" cy="3592195"/>
            <wp:effectExtent l="0" t="0" r="5715" b="8255"/>
            <wp:docPr id="81" name="图片 3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6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1135" cy="3620770"/>
            <wp:effectExtent l="0" t="0" r="5715" b="17780"/>
            <wp:docPr id="82" name="图片 3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7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我要办理</w:t>
      </w:r>
    </w:p>
    <w:p>
      <w:pPr>
        <w:numPr>
          <w:ilvl w:val="1"/>
          <w:numId w:val="3"/>
        </w:numPr>
        <w:spacing w:line="600" w:lineRule="exact"/>
        <w:ind w:left="0" w:firstLine="0"/>
        <w:outlineLvl w:val="1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委托扣款协议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第一步：登录后，点击“我要办理”，点击“委托扣款协议”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71135" cy="1659890"/>
            <wp:effectExtent l="0" t="0" r="5715" b="16510"/>
            <wp:docPr id="86" name="图片 3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9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73040" cy="1860550"/>
            <wp:effectExtent l="0" t="0" r="0" b="13970"/>
            <wp:docPr id="31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第二步：</w:t>
      </w:r>
    </w:p>
    <w:p>
      <w:pPr>
        <w:numPr>
          <w:ilvl w:val="0"/>
          <w:numId w:val="6"/>
        </w:numPr>
        <w:spacing w:line="360" w:lineRule="auto"/>
        <w:jc w:val="left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新增委托扣款协议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点击“新增委托扣款协议”，根据实际情况，选择“已在银行签署协议”或者“未在银行签署协议”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3040" cy="1863725"/>
            <wp:effectExtent l="0" t="0" r="0" b="10795"/>
            <wp:docPr id="32" name="图片 2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114925" cy="2295525"/>
            <wp:effectExtent l="0" t="0" r="9525" b="9525"/>
            <wp:docPr id="63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5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a.已在银行签署协议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点击“已在银行签署协议”,输入协议信息，点击“确认签约”。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076825" cy="2266950"/>
            <wp:effectExtent l="0" t="0" r="9525" b="0"/>
            <wp:docPr id="66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6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4310" cy="4638675"/>
            <wp:effectExtent l="0" t="0" r="2540" b="9525"/>
            <wp:docPr id="67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7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b.未在银行签署协议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点击“未在银行签署协议”,输入协议信息，点击“确认签约”。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133975" cy="2228850"/>
            <wp:effectExtent l="0" t="0" r="9525" b="0"/>
            <wp:docPr id="85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9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2405" cy="4305935"/>
            <wp:effectExtent l="0" t="0" r="4445" b="18415"/>
            <wp:docPr id="84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8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3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jc w:val="left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撤销协议</w:t>
      </w:r>
    </w:p>
    <w:p>
      <w:pPr>
        <w:spacing w:line="360" w:lineRule="auto"/>
        <w:jc w:val="left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点击“删除协议”，在弹出的提示框中，点击“确认删除”，则删除该条协议。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3790950" cy="2219325"/>
            <wp:effectExtent l="0" t="0" r="0" b="9525"/>
            <wp:docPr id="87" name="图片 4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0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jc w:val="left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自动缴费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点击开关，选择是否自动缴费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58435" cy="1489710"/>
            <wp:effectExtent l="0" t="0" r="18415" b="15240"/>
            <wp:docPr id="55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jc w:val="left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设置支付密码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点击“设置支付密码”，点击“发送验证码”，输入验证码后，点击“下一步”。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8595" cy="3475355"/>
            <wp:effectExtent l="0" t="0" r="8255" b="10795"/>
            <wp:docPr id="60" name="图片 2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1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录入密码，点击确认。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4991100" cy="3695700"/>
            <wp:effectExtent l="0" t="0" r="0" b="0"/>
            <wp:docPr id="61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2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再次录入密码，点击确认。提示设置支付密码成功。</w:t>
      </w:r>
    </w:p>
    <w:p>
      <w:pPr>
        <w:spacing w:line="360" w:lineRule="auto"/>
        <w:jc w:val="left"/>
      </w:pPr>
    </w:p>
    <w:p>
      <w:pPr>
        <w:spacing w:line="360" w:lineRule="auto"/>
        <w:jc w:val="left"/>
      </w:pPr>
      <w:r>
        <w:drawing>
          <wp:inline distT="0" distB="0" distL="114300" distR="114300">
            <wp:extent cx="4572000" cy="3609975"/>
            <wp:effectExtent l="0" t="0" r="0" b="9525"/>
            <wp:docPr id="64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3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33900" cy="3543300"/>
            <wp:effectExtent l="0" t="0" r="7620" b="7620"/>
            <wp:docPr id="65" name="图片 2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4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jc w:val="left"/>
        <w:rPr>
          <w:rFonts w:hint="default" w:ascii="仿宋_GB2312" w:eastAsia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b/>
          <w:bCs/>
          <w:sz w:val="32"/>
          <w:szCs w:val="32"/>
          <w:lang w:val="en-US" w:eastAsia="zh-CN"/>
        </w:rPr>
        <w:t>设置支付密码是否启用</w:t>
      </w:r>
    </w:p>
    <w:p>
      <w:pPr>
        <w:spacing w:line="360" w:lineRule="auto"/>
        <w:jc w:val="left"/>
        <w:rPr>
          <w:rFonts w:hint="default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若不希望使用协议密码进行缴费，可点击“设置支付密码是否启用”后选择“否”并确认。</w:t>
      </w:r>
      <w:r>
        <w:drawing>
          <wp:inline distT="0" distB="0" distL="114300" distR="114300">
            <wp:extent cx="5268595" cy="3961765"/>
            <wp:effectExtent l="0" t="0" r="4445" b="635"/>
            <wp:docPr id="35" name="图片 2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9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hint="eastAsia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若协议密码为关闭状态，在使用协议缴费时将弹出提示</w:t>
      </w:r>
    </w:p>
    <w:p>
      <w:pPr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834640"/>
            <wp:effectExtent l="0" t="0" r="635" b="0"/>
            <wp:docPr id="34" name="图片 2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8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b/>
          <w:bCs/>
          <w:color w:val="FF0000"/>
          <w:sz w:val="32"/>
          <w:szCs w:val="32"/>
        </w:rPr>
        <w:t>温馨提示</w:t>
      </w:r>
      <w:r>
        <w:rPr>
          <w:rFonts w:hint="eastAsia" w:ascii="仿宋_GB2312" w:eastAsia="仿宋_GB2312"/>
          <w:b/>
          <w:bCs/>
          <w:sz w:val="32"/>
          <w:szCs w:val="32"/>
        </w:rPr>
        <w:t>：</w:t>
      </w:r>
      <w:r>
        <w:rPr>
          <w:rFonts w:hint="eastAsia" w:ascii="仿宋_GB2312" w:eastAsia="仿宋_GB2312"/>
          <w:sz w:val="32"/>
          <w:szCs w:val="32"/>
        </w:rPr>
        <w:t>缴费人可阅读温馨提示中的内容，了解扣款协议的注意事项。如有疑问，可点击“各区市税务局咨询电话”，进行电话咨询。</w:t>
      </w:r>
      <w:r>
        <w:rPr>
          <w:rFonts w:hint="eastAsia" w:ascii="仿宋_GB2312" w:eastAsia="仿宋_GB2312"/>
          <w:sz w:val="32"/>
          <w:szCs w:val="32"/>
        </w:rPr>
        <w:tab/>
      </w:r>
    </w:p>
    <w:p>
      <w:pPr>
        <w:spacing w:line="360" w:lineRule="auto"/>
        <w:jc w:val="left"/>
      </w:pPr>
      <w:r>
        <w:drawing>
          <wp:inline distT="0" distB="0" distL="114300" distR="114300">
            <wp:extent cx="5259705" cy="1918970"/>
            <wp:effectExtent l="0" t="0" r="17145" b="5080"/>
            <wp:docPr id="1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48275" cy="3790950"/>
            <wp:effectExtent l="0" t="0" r="9525" b="0"/>
            <wp:docPr id="12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3"/>
        </w:numPr>
        <w:spacing w:line="600" w:lineRule="exact"/>
        <w:ind w:left="0" w:firstLine="0"/>
        <w:outlineLvl w:val="1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社保费缴费清单</w:t>
      </w:r>
    </w:p>
    <w:p>
      <w:pPr>
        <w:spacing w:line="360" w:lineRule="auto"/>
        <w:jc w:val="left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第一步：登录后，点击“我要办理”，点击“社保费缴费清单”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4310" cy="1693545"/>
            <wp:effectExtent l="0" t="0" r="2540" b="1905"/>
            <wp:docPr id="89" name="图片 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2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第二步：点击“新增下载”。输入缴款所属期起止，点击“查询”。查询完成后，点击“下载”。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69230" cy="826135"/>
            <wp:effectExtent l="0" t="0" r="7620" b="12065"/>
            <wp:docPr id="39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eastAsia="仿宋_GB2312"/>
          <w:b/>
          <w:bCs/>
          <w:sz w:val="32"/>
          <w:szCs w:val="32"/>
        </w:rPr>
      </w:pPr>
      <w:r>
        <w:drawing>
          <wp:inline distT="0" distB="0" distL="114300" distR="114300">
            <wp:extent cx="5262880" cy="1693545"/>
            <wp:effectExtent l="0" t="0" r="13970" b="1905"/>
            <wp:docPr id="41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3"/>
        </w:numPr>
        <w:spacing w:line="600" w:lineRule="exact"/>
        <w:ind w:left="0" w:firstLine="0"/>
        <w:outlineLvl w:val="1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社保费完费证</w:t>
      </w:r>
    </w:p>
    <w:p>
      <w:pPr>
        <w:spacing w:line="360" w:lineRule="auto"/>
        <w:jc w:val="left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登录后，点击“我要办理”，点击“社保费完费证”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72405" cy="1799590"/>
            <wp:effectExtent l="0" t="0" r="4445" b="10160"/>
            <wp:docPr id="90" name="图片 4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3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2"/>
          <w:numId w:val="3"/>
        </w:numPr>
        <w:spacing w:line="600" w:lineRule="exact"/>
        <w:ind w:left="0" w:firstLine="0"/>
        <w:outlineLvl w:val="2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开具税收完税（费）证明（非印刷）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56530" cy="1370330"/>
            <wp:effectExtent l="0" t="0" r="1270" b="1270"/>
            <wp:docPr id="46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输入费款所属期起止，点击“查询”。选择查询到的数据，点击“开具”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63515" cy="1196975"/>
            <wp:effectExtent l="0" t="0" r="13335" b="3175"/>
            <wp:docPr id="47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可查看并下载完税（费）证明。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7325" cy="2903855"/>
            <wp:effectExtent l="0" t="0" r="9525" b="10795"/>
            <wp:docPr id="48" name="图片 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2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点击“查看明细”，查看该条信息的明细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2880" cy="1214120"/>
            <wp:effectExtent l="0" t="0" r="13970" b="5080"/>
            <wp:docPr id="49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4785" cy="1333500"/>
            <wp:effectExtent l="0" t="0" r="12065" b="0"/>
            <wp:docPr id="50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2"/>
          <w:numId w:val="3"/>
        </w:numPr>
        <w:spacing w:line="600" w:lineRule="exact"/>
        <w:ind w:left="0" w:firstLine="0"/>
        <w:outlineLvl w:val="2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补开税收完税（费）证明（非印刷）</w:t>
      </w:r>
    </w:p>
    <w:p>
      <w:pPr>
        <w:spacing w:line="60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点击“补开税收完税（费）证明（非印刷）”，输入开具日期起止、票证号码，点击“查询”。选择查询到的数据，点击“补开”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64785" cy="1410335"/>
            <wp:effectExtent l="0" t="0" r="12065" b="18415"/>
            <wp:docPr id="51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1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可查看并下载完税（费）证明。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7325" cy="2903855"/>
            <wp:effectExtent l="0" t="0" r="9525" b="10795"/>
            <wp:docPr id="52" name="图片 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2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我要查询</w:t>
      </w:r>
    </w:p>
    <w:p>
      <w:pPr>
        <w:numPr>
          <w:ilvl w:val="1"/>
          <w:numId w:val="3"/>
        </w:numPr>
        <w:spacing w:line="600" w:lineRule="exact"/>
        <w:ind w:left="0" w:firstLine="0"/>
        <w:outlineLvl w:val="1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缴费情况查询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第一步：登录后，点击“我要查询”，点击“缴费情况查询”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1135" cy="2989580"/>
            <wp:effectExtent l="0" t="0" r="5715" b="1270"/>
            <wp:docPr id="69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6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缴费情况查询分为“已缴纳”和“未缴费”两种情况</w:t>
      </w:r>
    </w:p>
    <w:p>
      <w:pPr>
        <w:numPr>
          <w:ilvl w:val="0"/>
          <w:numId w:val="7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查询“已缴纳”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选择参保登记信息，填写告知单号，点击“查询”。在不选择条件的情况下，点击“查询”，会查询全部信息。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drawing>
          <wp:inline distT="0" distB="0" distL="114300" distR="114300">
            <wp:extent cx="5263515" cy="1433195"/>
            <wp:effectExtent l="0" t="0" r="13335" b="14605"/>
            <wp:docPr id="70" name="图片 2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7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点击“查看明细”，可查看缴费明细信息。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3040" cy="969010"/>
            <wp:effectExtent l="0" t="0" r="3810" b="2540"/>
            <wp:docPr id="71" name="图片 2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8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查询“未缴费”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选择参保登记信息，填写告知单号，点击“查询”。在不选择条件的情况下，点击“查询”，会查询全部信息。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59070" cy="1137920"/>
            <wp:effectExtent l="0" t="0" r="17780" b="5080"/>
            <wp:docPr id="72" name="图片 2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9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注意：未申报的时候，状态是“未缴费”，已申报未扣款的时候，状态是“未支付。”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7960" cy="1051560"/>
            <wp:effectExtent l="0" t="0" r="8890" b="15240"/>
            <wp:docPr id="74" name="图片 3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0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3515" cy="701675"/>
            <wp:effectExtent l="0" t="0" r="13335" b="3175"/>
            <wp:docPr id="75" name="图片 3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1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点击“查看明细”，可查看缴费明细信息。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73040" cy="969010"/>
            <wp:effectExtent l="0" t="0" r="3810" b="2540"/>
            <wp:docPr id="73" name="图片 2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8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“缴费情况查询”与“社保费缴费清单”功能的区别：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缴费情况查询是按照告知单流水号和参保登记信息查询缴费情况。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社保费缴费清单是按照缴费日期查询缴费明细。</w:t>
      </w:r>
    </w:p>
    <w:p>
      <w:pPr>
        <w:numPr>
          <w:ilvl w:val="0"/>
          <w:numId w:val="3"/>
        </w:numPr>
        <w:spacing w:line="600" w:lineRule="exact"/>
        <w:ind w:left="0" w:firstLine="0"/>
        <w:outlineLvl w:val="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用户管理</w:t>
      </w:r>
    </w:p>
    <w:p>
      <w:pPr>
        <w:numPr>
          <w:ilvl w:val="1"/>
          <w:numId w:val="3"/>
        </w:numPr>
        <w:spacing w:line="600" w:lineRule="exact"/>
        <w:ind w:left="0" w:firstLine="0"/>
        <w:outlineLvl w:val="1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安全及通知手机号</w:t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第一步：点击“用户管理”，点击“安全及通知手机号”。</w:t>
      </w:r>
    </w:p>
    <w:p>
      <w:pPr>
        <w:spacing w:line="360" w:lineRule="auto"/>
        <w:jc w:val="left"/>
      </w:pPr>
      <w:r>
        <w:drawing>
          <wp:inline distT="0" distB="0" distL="114300" distR="114300">
            <wp:extent cx="5265420" cy="1873885"/>
            <wp:effectExtent l="0" t="0" r="11430" b="12065"/>
            <wp:docPr id="79" name="图片 3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4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第二步：根据提示输入新的通知手机号及验证码，点击“确认修改”。</w:t>
      </w:r>
      <w:r>
        <w:drawing>
          <wp:inline distT="0" distB="0" distL="114300" distR="114300">
            <wp:extent cx="5210175" cy="4743450"/>
            <wp:effectExtent l="0" t="0" r="9525" b="0"/>
            <wp:docPr id="80" name="图片 3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5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仿宋_GB2312" w:eastAsia="仿宋_GB2312"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092F8A"/>
    <w:multiLevelType w:val="singleLevel"/>
    <w:tmpl w:val="8C092F8A"/>
    <w:lvl w:ilvl="0" w:tentative="0">
      <w:start w:val="1"/>
      <w:numFmt w:val="upperLetter"/>
      <w:lvlText w:val="%1."/>
      <w:lvlJc w:val="left"/>
      <w:pPr>
        <w:tabs>
          <w:tab w:val="left" w:pos="312"/>
        </w:tabs>
      </w:pPr>
    </w:lvl>
  </w:abstractNum>
  <w:abstractNum w:abstractNumId="1">
    <w:nsid w:val="C95F949D"/>
    <w:multiLevelType w:val="multilevel"/>
    <w:tmpl w:val="C95F949D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>
    <w:nsid w:val="FEB06D76"/>
    <w:multiLevelType w:val="multilevel"/>
    <w:tmpl w:val="FEB06D76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3">
    <w:nsid w:val="0F88C1FB"/>
    <w:multiLevelType w:val="multilevel"/>
    <w:tmpl w:val="0F88C1FB"/>
    <w:lvl w:ilvl="0" w:tentative="0">
      <w:start w:val="1"/>
      <w:numFmt w:val="decimal"/>
      <w:lvlText w:val="%1."/>
      <w:lvlJc w:val="left"/>
      <w:pPr>
        <w:ind w:left="672" w:hanging="432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4">
    <w:nsid w:val="1D697CC3"/>
    <w:multiLevelType w:val="multilevel"/>
    <w:tmpl w:val="1D697CC3"/>
    <w:lvl w:ilvl="0" w:tentative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3AC76B24"/>
    <w:multiLevelType w:val="singleLevel"/>
    <w:tmpl w:val="3AC76B24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3DD84E5A"/>
    <w:multiLevelType w:val="singleLevel"/>
    <w:tmpl w:val="3DD84E5A"/>
    <w:lvl w:ilvl="0" w:tentative="0">
      <w:start w:val="1"/>
      <w:numFmt w:val="upperLetter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false"/>
  <w:bordersDoNotSurroundFooter w:val="fals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FhN2MxZGRkYTQ3OTZhYzNkN2MwMTcwMTc4MmUyYWYifQ=="/>
  </w:docVars>
  <w:rsids>
    <w:rsidRoot w:val="60BE2DE6"/>
    <w:rsid w:val="0000475A"/>
    <w:rsid w:val="00024671"/>
    <w:rsid w:val="00050504"/>
    <w:rsid w:val="00071D31"/>
    <w:rsid w:val="000A415B"/>
    <w:rsid w:val="000A77B0"/>
    <w:rsid w:val="000E531D"/>
    <w:rsid w:val="000F55B1"/>
    <w:rsid w:val="000F59BA"/>
    <w:rsid w:val="001006D3"/>
    <w:rsid w:val="00102508"/>
    <w:rsid w:val="00116599"/>
    <w:rsid w:val="001253C8"/>
    <w:rsid w:val="00146EAE"/>
    <w:rsid w:val="00177FCD"/>
    <w:rsid w:val="0018382C"/>
    <w:rsid w:val="001D5B3A"/>
    <w:rsid w:val="001E0923"/>
    <w:rsid w:val="00210B7C"/>
    <w:rsid w:val="00231CC3"/>
    <w:rsid w:val="0024684E"/>
    <w:rsid w:val="00276C0E"/>
    <w:rsid w:val="00276E55"/>
    <w:rsid w:val="00277240"/>
    <w:rsid w:val="00280D58"/>
    <w:rsid w:val="00297688"/>
    <w:rsid w:val="002A0826"/>
    <w:rsid w:val="002C77E4"/>
    <w:rsid w:val="00311687"/>
    <w:rsid w:val="0031707F"/>
    <w:rsid w:val="003556F3"/>
    <w:rsid w:val="00366E77"/>
    <w:rsid w:val="00374248"/>
    <w:rsid w:val="003759A5"/>
    <w:rsid w:val="003A4A26"/>
    <w:rsid w:val="003E5DB0"/>
    <w:rsid w:val="00443AFA"/>
    <w:rsid w:val="004738C0"/>
    <w:rsid w:val="004A0F49"/>
    <w:rsid w:val="005129B8"/>
    <w:rsid w:val="00512D74"/>
    <w:rsid w:val="005144E9"/>
    <w:rsid w:val="00536E6D"/>
    <w:rsid w:val="00537F1A"/>
    <w:rsid w:val="00576925"/>
    <w:rsid w:val="00586B17"/>
    <w:rsid w:val="00587ED2"/>
    <w:rsid w:val="005E33E8"/>
    <w:rsid w:val="006028B2"/>
    <w:rsid w:val="0060478D"/>
    <w:rsid w:val="00613C8C"/>
    <w:rsid w:val="006259E1"/>
    <w:rsid w:val="00634EA8"/>
    <w:rsid w:val="00652B00"/>
    <w:rsid w:val="00673CC2"/>
    <w:rsid w:val="006A1FFA"/>
    <w:rsid w:val="006A21B2"/>
    <w:rsid w:val="006B0DF2"/>
    <w:rsid w:val="006C0258"/>
    <w:rsid w:val="006D7C47"/>
    <w:rsid w:val="00713141"/>
    <w:rsid w:val="00725A99"/>
    <w:rsid w:val="00732BCE"/>
    <w:rsid w:val="00733CE5"/>
    <w:rsid w:val="00781A9A"/>
    <w:rsid w:val="00786A7A"/>
    <w:rsid w:val="007B7D4C"/>
    <w:rsid w:val="008024B5"/>
    <w:rsid w:val="00822016"/>
    <w:rsid w:val="00881DB0"/>
    <w:rsid w:val="008B3DB7"/>
    <w:rsid w:val="008F0EA6"/>
    <w:rsid w:val="008F6A68"/>
    <w:rsid w:val="009079DC"/>
    <w:rsid w:val="0091654D"/>
    <w:rsid w:val="00921882"/>
    <w:rsid w:val="00923523"/>
    <w:rsid w:val="00941341"/>
    <w:rsid w:val="0094362A"/>
    <w:rsid w:val="00960615"/>
    <w:rsid w:val="009C66EE"/>
    <w:rsid w:val="009F4F23"/>
    <w:rsid w:val="00A4610E"/>
    <w:rsid w:val="00AA6D7C"/>
    <w:rsid w:val="00AB1A62"/>
    <w:rsid w:val="00AD7308"/>
    <w:rsid w:val="00B2248C"/>
    <w:rsid w:val="00B250FD"/>
    <w:rsid w:val="00B67A10"/>
    <w:rsid w:val="00B712FC"/>
    <w:rsid w:val="00B73F79"/>
    <w:rsid w:val="00B863F9"/>
    <w:rsid w:val="00B87AF7"/>
    <w:rsid w:val="00B94556"/>
    <w:rsid w:val="00BA4D95"/>
    <w:rsid w:val="00BA7165"/>
    <w:rsid w:val="00BF6EA4"/>
    <w:rsid w:val="00BF7F40"/>
    <w:rsid w:val="00C2762F"/>
    <w:rsid w:val="00C54691"/>
    <w:rsid w:val="00C824E1"/>
    <w:rsid w:val="00CC1395"/>
    <w:rsid w:val="00CC7EFB"/>
    <w:rsid w:val="00CF62A6"/>
    <w:rsid w:val="00D06D2D"/>
    <w:rsid w:val="00D10DC8"/>
    <w:rsid w:val="00D2779B"/>
    <w:rsid w:val="00D3437C"/>
    <w:rsid w:val="00D92BD4"/>
    <w:rsid w:val="00DA1A4A"/>
    <w:rsid w:val="00DB5895"/>
    <w:rsid w:val="00DC008C"/>
    <w:rsid w:val="00E00787"/>
    <w:rsid w:val="00E053A3"/>
    <w:rsid w:val="00E24D79"/>
    <w:rsid w:val="00E64DFD"/>
    <w:rsid w:val="00E73080"/>
    <w:rsid w:val="00EC00A9"/>
    <w:rsid w:val="00EE72AA"/>
    <w:rsid w:val="00F02335"/>
    <w:rsid w:val="00F0652A"/>
    <w:rsid w:val="00F57950"/>
    <w:rsid w:val="00F64DD8"/>
    <w:rsid w:val="00FA0248"/>
    <w:rsid w:val="00FA6EB3"/>
    <w:rsid w:val="00FC4F7A"/>
    <w:rsid w:val="00FE4BEF"/>
    <w:rsid w:val="01622932"/>
    <w:rsid w:val="046F5C8A"/>
    <w:rsid w:val="05102EA4"/>
    <w:rsid w:val="06E80FC4"/>
    <w:rsid w:val="07AD5B99"/>
    <w:rsid w:val="0A320964"/>
    <w:rsid w:val="0AB02DBA"/>
    <w:rsid w:val="0B6D133B"/>
    <w:rsid w:val="0D652408"/>
    <w:rsid w:val="0DBB0F3A"/>
    <w:rsid w:val="1050611C"/>
    <w:rsid w:val="1164507C"/>
    <w:rsid w:val="11BB2594"/>
    <w:rsid w:val="12033052"/>
    <w:rsid w:val="13DB4BD0"/>
    <w:rsid w:val="15EA76F0"/>
    <w:rsid w:val="16560FD4"/>
    <w:rsid w:val="172C753C"/>
    <w:rsid w:val="17594186"/>
    <w:rsid w:val="189C217F"/>
    <w:rsid w:val="1A2E4993"/>
    <w:rsid w:val="1F581925"/>
    <w:rsid w:val="24600B57"/>
    <w:rsid w:val="25082CC8"/>
    <w:rsid w:val="25777C99"/>
    <w:rsid w:val="27AE229B"/>
    <w:rsid w:val="290A37AE"/>
    <w:rsid w:val="2A217855"/>
    <w:rsid w:val="2DA10B56"/>
    <w:rsid w:val="30DA3943"/>
    <w:rsid w:val="32DE1376"/>
    <w:rsid w:val="33CC4DEB"/>
    <w:rsid w:val="3462696C"/>
    <w:rsid w:val="355A6040"/>
    <w:rsid w:val="37533599"/>
    <w:rsid w:val="3948026B"/>
    <w:rsid w:val="3A01771B"/>
    <w:rsid w:val="3E7358EE"/>
    <w:rsid w:val="3E7D57C8"/>
    <w:rsid w:val="3F8FE350"/>
    <w:rsid w:val="419F6E29"/>
    <w:rsid w:val="426A748F"/>
    <w:rsid w:val="428B744B"/>
    <w:rsid w:val="453E63F0"/>
    <w:rsid w:val="46923921"/>
    <w:rsid w:val="46955281"/>
    <w:rsid w:val="48A45DC4"/>
    <w:rsid w:val="49E63E79"/>
    <w:rsid w:val="4FF7DBDB"/>
    <w:rsid w:val="56EA2FA1"/>
    <w:rsid w:val="585E0C72"/>
    <w:rsid w:val="5C9C7DAC"/>
    <w:rsid w:val="60246A38"/>
    <w:rsid w:val="60BE2DE6"/>
    <w:rsid w:val="6333310D"/>
    <w:rsid w:val="68654F9F"/>
    <w:rsid w:val="696C0BAB"/>
    <w:rsid w:val="6A773116"/>
    <w:rsid w:val="6B9C1B85"/>
    <w:rsid w:val="6E450FD4"/>
    <w:rsid w:val="6E554B0B"/>
    <w:rsid w:val="6E996915"/>
    <w:rsid w:val="6F4730CD"/>
    <w:rsid w:val="71886BBE"/>
    <w:rsid w:val="71D37336"/>
    <w:rsid w:val="726136B0"/>
    <w:rsid w:val="73A135F0"/>
    <w:rsid w:val="73E128A8"/>
    <w:rsid w:val="74632095"/>
    <w:rsid w:val="749743BF"/>
    <w:rsid w:val="75EF6265"/>
    <w:rsid w:val="788C6381"/>
    <w:rsid w:val="7B5F9476"/>
    <w:rsid w:val="7BB67526"/>
    <w:rsid w:val="7BFA55E7"/>
    <w:rsid w:val="7D0D6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/>
      <w:b/>
      <w:kern w:val="44"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260" w:after="260" w:line="360" w:lineRule="auto"/>
      <w:ind w:left="575" w:hanging="575" w:firstLineChars="0"/>
      <w:outlineLvl w:val="1"/>
    </w:pPr>
    <w:rPr>
      <w:rFonts w:ascii="Arial" w:hAnsi="Arial" w:eastAsia="黑体"/>
      <w:b/>
      <w:sz w:val="36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spacing w:before="260" w:after="260" w:line="360" w:lineRule="auto"/>
      <w:ind w:left="720" w:hanging="720" w:firstLineChars="0"/>
      <w:outlineLvl w:val="2"/>
    </w:pPr>
    <w:rPr>
      <w:rFonts w:ascii="Times New Roman" w:hAnsi="Times New Roman" w:eastAsia="黑体"/>
      <w:b/>
      <w:sz w:val="32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2"/>
      </w:numPr>
      <w:tabs>
        <w:tab w:val="left" w:pos="993"/>
      </w:tabs>
      <w:ind w:firstLine="0" w:firstLineChars="0"/>
      <w:outlineLvl w:val="3"/>
    </w:pPr>
    <w:rPr>
      <w:rFonts w:eastAsia="黑体"/>
      <w:bCs/>
      <w:sz w:val="32"/>
    </w:rPr>
  </w:style>
  <w:style w:type="paragraph" w:styleId="6">
    <w:name w:val="heading 5"/>
    <w:basedOn w:val="1"/>
    <w:next w:val="1"/>
    <w:qFormat/>
    <w:uiPriority w:val="0"/>
    <w:pPr>
      <w:keepNext/>
      <w:keepLines/>
      <w:numPr>
        <w:ilvl w:val="4"/>
        <w:numId w:val="2"/>
      </w:numPr>
      <w:spacing w:before="280" w:after="290" w:line="372" w:lineRule="auto"/>
      <w:ind w:left="0" w:firstLine="0" w:firstLineChars="0"/>
      <w:outlineLvl w:val="4"/>
    </w:pPr>
    <w:rPr>
      <w:b/>
      <w:sz w:val="28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Balloon Text"/>
    <w:basedOn w:val="1"/>
    <w:link w:val="12"/>
    <w:qFormat/>
    <w:uiPriority w:val="0"/>
    <w:rPr>
      <w:sz w:val="18"/>
      <w:szCs w:val="18"/>
    </w:rPr>
  </w:style>
  <w:style w:type="paragraph" w:styleId="8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2">
    <w:name w:val="批注框文本 字符"/>
    <w:basedOn w:val="11"/>
    <w:link w:val="7"/>
    <w:qFormat/>
    <w:uiPriority w:val="0"/>
    <w:rPr>
      <w:kern w:val="2"/>
      <w:sz w:val="18"/>
      <w:szCs w:val="18"/>
    </w:rPr>
  </w:style>
  <w:style w:type="character" w:customStyle="1" w:styleId="13">
    <w:name w:val="页眉 字符"/>
    <w:basedOn w:val="11"/>
    <w:link w:val="9"/>
    <w:qFormat/>
    <w:uiPriority w:val="0"/>
    <w:rPr>
      <w:kern w:val="2"/>
      <w:sz w:val="18"/>
      <w:szCs w:val="18"/>
    </w:rPr>
  </w:style>
  <w:style w:type="character" w:customStyle="1" w:styleId="14">
    <w:name w:val="页脚 字符"/>
    <w:basedOn w:val="11"/>
    <w:link w:val="8"/>
    <w:qFormat/>
    <w:uiPriority w:val="0"/>
    <w:rPr>
      <w:kern w:val="2"/>
      <w:sz w:val="18"/>
      <w:szCs w:val="18"/>
    </w:rPr>
  </w:style>
  <w:style w:type="paragraph" w:styleId="15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3" Type="http://schemas.openxmlformats.org/officeDocument/2006/relationships/fontTable" Target="fontTable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32</Pages>
  <Words>2999</Words>
  <Characters>3047</Characters>
  <Lines>21</Lines>
  <Paragraphs>6</Paragraphs>
  <TotalTime>0</TotalTime>
  <ScaleCrop>false</ScaleCrop>
  <LinksUpToDate>false</LinksUpToDate>
  <CharactersWithSpaces>3051</CharactersWithSpaces>
  <Application>WPS Office_11.8.2.9695_F1E327BC-269C-435d-A152-05C5408002CA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2020-05-26T18:32:00Z</dcterms:created>
  <dc:creator>Sud Le</dc:creator>
  <cp:lastModifiedBy>sj-nfzx-lijing</cp:lastModifiedBy>
  <dcterms:modified xsi:type="dcterms:W3CDTF">2023-04-10T16:34:00Z</dcterms:modified>
  <cp:revision>155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2052-11.8.2.9695</vt:lpwstr>
  </property>
  <property fmtid="{D5CDD505-2E9C-101B-9397-08002B2CF9AE}" pid="3" name="ICV">
    <vt:lpwstr>B4C93FFA6E4947C69915AB6E23C3D7BA</vt:lpwstr>
  </property>
</Properties>
</file>